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C108E">
      <w:pPr>
        <w:pStyle w:val="2"/>
        <w:shd w:val="clear" w:color="auto" w:fill="FFFFFF"/>
        <w:overflowPunct w:val="0"/>
        <w:spacing w:before="0" w:beforeAutospacing="0" w:after="0" w:afterAutospacing="0" w:line="560" w:lineRule="exact"/>
        <w:jc w:val="both"/>
        <w:rPr>
          <w:rStyle w:val="5"/>
          <w:rFonts w:hint="default" w:ascii="Times New Roman" w:hAnsi="Times New Roman" w:eastAsia="黑体" w:cs="Times New Roman"/>
          <w:b w:val="0"/>
          <w:color w:val="auto"/>
          <w:sz w:val="32"/>
          <w:szCs w:val="32"/>
          <w:highlight w:val="none"/>
          <w:u w:val="none" w:color="auto"/>
          <w:shd w:val="clear" w:color="auto" w:fill="FFFFFF"/>
          <w:lang w:eastAsia="zh-CN"/>
        </w:rPr>
      </w:pPr>
      <w:r>
        <w:rPr>
          <w:rStyle w:val="5"/>
          <w:rFonts w:hint="default" w:ascii="Times New Roman" w:hAnsi="Times New Roman" w:eastAsia="黑体" w:cs="Times New Roman"/>
          <w:b w:val="0"/>
          <w:color w:val="auto"/>
          <w:sz w:val="32"/>
          <w:szCs w:val="32"/>
          <w:highlight w:val="none"/>
          <w:u w:val="none" w:color="auto"/>
          <w:shd w:val="clear" w:color="auto" w:fill="FFFFFF"/>
          <w:lang w:eastAsia="zh-CN"/>
        </w:rPr>
        <w:t>附件</w:t>
      </w:r>
      <w:r>
        <w:rPr>
          <w:rStyle w:val="5"/>
          <w:rFonts w:hint="default" w:ascii="Times New Roman" w:hAnsi="Times New Roman" w:eastAsia="黑体" w:cs="Times New Roman"/>
          <w:b w:val="0"/>
          <w:color w:val="auto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2</w:t>
      </w:r>
    </w:p>
    <w:p w14:paraId="4A63F2A0">
      <w:pPr>
        <w:pStyle w:val="2"/>
        <w:shd w:val="clear" w:color="auto" w:fill="FFFFFF"/>
        <w:spacing w:before="0" w:beforeAutospacing="0" w:after="0" w:afterAutospacing="0" w:line="560" w:lineRule="exact"/>
        <w:jc w:val="center"/>
        <w:rPr>
          <w:rFonts w:eastAsia="方正小标宋_GBK" w:cs="方正小标宋_GBK"/>
          <w:color w:val="auto"/>
          <w:kern w:val="2"/>
          <w:sz w:val="44"/>
          <w:szCs w:val="44"/>
          <w:highlight w:val="none"/>
          <w:u w:val="none" w:color="auto"/>
        </w:rPr>
      </w:pPr>
    </w:p>
    <w:p w14:paraId="775FB232">
      <w:pPr>
        <w:pStyle w:val="2"/>
        <w:shd w:val="clear" w:color="auto" w:fill="FFFFFF"/>
        <w:spacing w:before="0" w:beforeAutospacing="0" w:after="0" w:afterAutospacing="0" w:line="560" w:lineRule="exact"/>
        <w:jc w:val="center"/>
        <w:rPr>
          <w:rFonts w:eastAsia="方正小标宋_GBK" w:cs="方正小标宋_GBK"/>
          <w:color w:val="auto"/>
          <w:kern w:val="2"/>
          <w:sz w:val="44"/>
          <w:szCs w:val="44"/>
          <w:highlight w:val="none"/>
          <w:u w:val="none" w:color="auto"/>
        </w:rPr>
      </w:pPr>
      <w:r>
        <w:rPr>
          <w:rFonts w:hint="eastAsia" w:eastAsia="方正小标宋_GBK" w:cs="方正小标宋_GBK"/>
          <w:color w:val="auto"/>
          <w:kern w:val="2"/>
          <w:sz w:val="44"/>
          <w:szCs w:val="44"/>
          <w:highlight w:val="none"/>
          <w:u w:val="none" w:color="auto"/>
        </w:rPr>
        <w:t>主题思政课、团课选题指南</w:t>
      </w:r>
    </w:p>
    <w:p w14:paraId="2D4432B5">
      <w:pPr>
        <w:spacing w:line="560" w:lineRule="exact"/>
        <w:jc w:val="left"/>
        <w:rPr>
          <w:b/>
          <w:bCs/>
          <w:color w:val="auto"/>
          <w:kern w:val="0"/>
          <w:highlight w:val="none"/>
          <w:u w:val="none" w:color="auto"/>
          <w:lang w:bidi="ar"/>
        </w:rPr>
      </w:pPr>
    </w:p>
    <w:p w14:paraId="2C5A1E0D">
      <w:pPr>
        <w:spacing w:line="520" w:lineRule="exact"/>
        <w:ind w:firstLine="640" w:firstLineChars="200"/>
        <w:jc w:val="left"/>
        <w:rPr>
          <w:rFonts w:eastAsia="方正黑体_GBK" w:cs="方正黑体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eastAsia="方正黑体_GBK" w:cs="方正黑体_GBK"/>
          <w:color w:val="auto"/>
          <w:kern w:val="0"/>
          <w:highlight w:val="none"/>
          <w:u w:val="none" w:color="auto"/>
          <w:lang w:bidi="ar"/>
        </w:rPr>
        <w:t>一、课程形式</w:t>
      </w:r>
    </w:p>
    <w:p w14:paraId="183F9977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可在以下两类课程形式中任选其一。</w:t>
      </w:r>
    </w:p>
    <w:p w14:paraId="5AEF1B4F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rFonts w:hint="eastAsia"/>
          <w:color w:val="auto"/>
          <w:kern w:val="0"/>
          <w:highlight w:val="none"/>
          <w:u w:val="none" w:color="auto"/>
          <w:lang w:bidi="ar"/>
        </w:rPr>
        <w:t>为讲授研讨类课程。应用场景主要课堂教学</w:t>
      </w:r>
      <w:r>
        <w:rPr>
          <w:color w:val="auto"/>
          <w:kern w:val="0"/>
          <w:highlight w:val="none"/>
          <w:u w:val="none" w:color="auto"/>
          <w:lang w:bidi="ar"/>
        </w:rPr>
        <w:t>或小范围学习讨论，可采取主题式、案例式、辨析式、模拟式、研讨式、沉浸式、互动式等方式。</w:t>
      </w:r>
    </w:p>
    <w:p w14:paraId="21F77E91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实践研学类课程。应用场景主要为校内外各类实践教育场所，可结合参观研学、团日活动、志愿服务、社会实践、实习锻炼等开展。</w:t>
      </w:r>
    </w:p>
    <w:p w14:paraId="2EBF447D">
      <w:pPr>
        <w:spacing w:line="520" w:lineRule="exact"/>
        <w:ind w:firstLine="640" w:firstLineChars="200"/>
        <w:jc w:val="left"/>
        <w:rPr>
          <w:rFonts w:eastAsia="方正黑体_GBK" w:cs="方正黑体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eastAsia="方正黑体_GBK" w:cs="方正黑体_GBK"/>
          <w:color w:val="auto"/>
          <w:kern w:val="0"/>
          <w:highlight w:val="none"/>
          <w:u w:val="none" w:color="auto"/>
          <w:lang w:bidi="ar"/>
        </w:rPr>
        <w:t>二、选题方向</w:t>
      </w:r>
    </w:p>
    <w:p w14:paraId="7AB331A5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提供</w:t>
      </w:r>
      <w:r>
        <w:rPr>
          <w:rFonts w:hint="eastAsia"/>
          <w:color w:val="auto"/>
          <w:kern w:val="0"/>
          <w:highlight w:val="none"/>
          <w:u w:val="none" w:color="auto"/>
          <w:lang w:bidi="ar"/>
        </w:rPr>
        <w:t>方向性题目，</w:t>
      </w:r>
      <w:r>
        <w:rPr>
          <w:color w:val="auto"/>
          <w:kern w:val="0"/>
          <w:highlight w:val="none"/>
          <w:u w:val="none" w:color="auto"/>
          <w:lang w:bidi="ar"/>
        </w:rPr>
        <w:t>参赛选手</w:t>
      </w:r>
      <w:r>
        <w:rPr>
          <w:rFonts w:hint="eastAsia"/>
          <w:color w:val="auto"/>
          <w:kern w:val="0"/>
          <w:highlight w:val="none"/>
          <w:u w:val="none" w:color="auto"/>
          <w:lang w:bidi="ar"/>
        </w:rPr>
        <w:t>可结合实际自拟具体</w:t>
      </w:r>
      <w:r>
        <w:rPr>
          <w:color w:val="auto"/>
          <w:kern w:val="0"/>
          <w:highlight w:val="none"/>
          <w:u w:val="none" w:color="auto"/>
          <w:lang w:bidi="ar"/>
        </w:rPr>
        <w:t>思政课</w:t>
      </w:r>
      <w:r>
        <w:rPr>
          <w:rFonts w:hint="eastAsia"/>
          <w:color w:val="auto"/>
          <w:kern w:val="0"/>
          <w:highlight w:val="none"/>
          <w:u w:val="none" w:color="auto"/>
          <w:lang w:bidi="ar"/>
        </w:rPr>
        <w:t>、</w:t>
      </w:r>
      <w:r>
        <w:rPr>
          <w:color w:val="auto"/>
          <w:kern w:val="0"/>
          <w:highlight w:val="none"/>
          <w:u w:val="none" w:color="auto"/>
          <w:lang w:bidi="ar"/>
        </w:rPr>
        <w:t>团课</w:t>
      </w:r>
      <w:r>
        <w:rPr>
          <w:rFonts w:hint="eastAsia"/>
          <w:color w:val="auto"/>
          <w:kern w:val="0"/>
          <w:highlight w:val="none"/>
          <w:u w:val="none" w:color="auto"/>
          <w:lang w:bidi="ar"/>
        </w:rPr>
        <w:t>题目，</w:t>
      </w:r>
      <w:r>
        <w:rPr>
          <w:color w:val="auto"/>
          <w:kern w:val="0"/>
          <w:highlight w:val="none"/>
          <w:u w:val="none" w:color="auto"/>
          <w:lang w:bidi="ar"/>
        </w:rPr>
        <w:t>尽量选择小切口展开。注重围绕青年日常学习、工作、生活关切和思想困惑，立足</w:t>
      </w:r>
      <w:r>
        <w:rPr>
          <w:rFonts w:hint="eastAsia"/>
          <w:color w:val="auto"/>
          <w:kern w:val="0"/>
          <w:highlight w:val="none"/>
          <w:u w:val="none" w:color="auto"/>
          <w:lang w:bidi="ar"/>
        </w:rPr>
        <w:t>学生</w:t>
      </w:r>
      <w:r>
        <w:rPr>
          <w:color w:val="auto"/>
          <w:kern w:val="0"/>
          <w:highlight w:val="none"/>
          <w:u w:val="none" w:color="auto"/>
          <w:lang w:bidi="ar"/>
        </w:rPr>
        <w:t>视角、以小见大，避免大而化之、面面俱到。</w:t>
      </w:r>
    </w:p>
    <w:p w14:paraId="478476A9">
      <w:pPr>
        <w:spacing w:line="520" w:lineRule="exact"/>
        <w:ind w:firstLine="640" w:firstLineChars="200"/>
        <w:jc w:val="left"/>
        <w:rPr>
          <w:rFonts w:eastAsia="方正楷体_GBK" w:cs="方正楷体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eastAsia="方正楷体_GBK" w:cs="方正楷体_GBK"/>
          <w:color w:val="auto"/>
          <w:kern w:val="0"/>
          <w:highlight w:val="none"/>
          <w:u w:val="none" w:color="auto"/>
          <w:lang w:bidi="ar"/>
        </w:rPr>
        <w:t>（一）党的创新理论类</w:t>
      </w:r>
    </w:p>
    <w:p w14:paraId="3FC904A4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重点：着眼深入浅出做好习近平新时代中国特色社会主义思想的宣传阐释，</w:t>
      </w:r>
      <w:r>
        <w:rPr>
          <w:rFonts w:hint="eastAsia"/>
          <w:color w:val="auto"/>
          <w:kern w:val="0"/>
          <w:highlight w:val="none"/>
          <w:u w:val="none" w:color="auto"/>
          <w:lang w:bidi="ar"/>
        </w:rPr>
        <w:t>面向青年</w:t>
      </w:r>
      <w:r>
        <w:rPr>
          <w:color w:val="auto"/>
          <w:kern w:val="0"/>
          <w:highlight w:val="none"/>
          <w:u w:val="none" w:color="auto"/>
          <w:lang w:bidi="ar"/>
        </w:rPr>
        <w:t>讲清楚道理、回应好关切，帮助青年学生加深对新时代党的创新理论的政治认同、思想认同、理论认同、情感认同。</w:t>
      </w:r>
    </w:p>
    <w:p w14:paraId="1DC3D9DA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1．中国式现代化相关内容</w:t>
      </w:r>
    </w:p>
    <w:p w14:paraId="7D89449A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2．习近平经济思想相关内容</w:t>
      </w:r>
    </w:p>
    <w:p w14:paraId="1619C1EE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3．习近平法治思想相关内容</w:t>
      </w:r>
    </w:p>
    <w:p w14:paraId="75319635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4．习近平生态文明思想相关内容</w:t>
      </w:r>
    </w:p>
    <w:p w14:paraId="0A5C6BCA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5．习近平强军思想相关内容</w:t>
      </w:r>
    </w:p>
    <w:p w14:paraId="169FD3AA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6．习近平外交思想相关内容</w:t>
      </w:r>
    </w:p>
    <w:p w14:paraId="0C87EBD7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7．习近平文化思想相关内容</w:t>
      </w:r>
    </w:p>
    <w:p w14:paraId="556F4ABB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8</w:t>
      </w:r>
      <w:r>
        <w:rPr>
          <w:rFonts w:hint="eastAsia"/>
          <w:color w:val="auto"/>
          <w:kern w:val="0"/>
          <w:highlight w:val="none"/>
          <w:u w:val="none" w:color="auto"/>
          <w:lang w:bidi="ar"/>
        </w:rPr>
        <w:t>．习近平总书记关于青年工作的重要思想相关内容</w:t>
      </w:r>
    </w:p>
    <w:p w14:paraId="2992C78B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9．习近平总书记关于其他领域工作的重要论述相关内容</w:t>
      </w:r>
    </w:p>
    <w:p w14:paraId="7EFDF0A4">
      <w:pPr>
        <w:spacing w:line="520" w:lineRule="exact"/>
        <w:ind w:firstLine="640" w:firstLineChars="200"/>
        <w:jc w:val="left"/>
        <w:rPr>
          <w:rFonts w:eastAsia="方正楷体_GBK" w:cs="方正楷体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eastAsia="方正楷体_GBK" w:cs="方正楷体_GBK"/>
          <w:color w:val="auto"/>
          <w:kern w:val="0"/>
          <w:highlight w:val="none"/>
          <w:u w:val="none" w:color="auto"/>
          <w:lang w:bidi="ar"/>
        </w:rPr>
        <w:t>（二）</w:t>
      </w:r>
      <w:r>
        <w:rPr>
          <w:rFonts w:eastAsia="方正楷体_GBK" w:cs="方正楷体_GBK"/>
          <w:color w:val="auto"/>
          <w:kern w:val="0"/>
          <w:highlight w:val="none"/>
          <w:u w:val="none" w:color="auto"/>
          <w:lang w:bidi="ar"/>
        </w:rPr>
        <w:t>青年建功类</w:t>
      </w:r>
    </w:p>
    <w:p w14:paraId="6F05B8EA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重点：着眼贯彻习近平总书记对新时代中国青年的希望要求</w:t>
      </w:r>
      <w:r>
        <w:rPr>
          <w:rFonts w:hint="eastAsia"/>
          <w:color w:val="auto"/>
          <w:kern w:val="0"/>
          <w:highlight w:val="none"/>
          <w:u w:val="none" w:color="auto"/>
          <w:lang w:bidi="ar"/>
        </w:rPr>
        <w:t>和</w:t>
      </w:r>
      <w:r>
        <w:rPr>
          <w:rFonts w:hint="eastAsia"/>
          <w:color w:val="auto"/>
          <w:highlight w:val="none"/>
          <w:u w:val="none" w:color="auto"/>
        </w:rPr>
        <w:t>习近平总书记对江苏工作重要讲话精神，</w:t>
      </w:r>
      <w:r>
        <w:rPr>
          <w:color w:val="auto"/>
          <w:kern w:val="0"/>
          <w:highlight w:val="none"/>
          <w:u w:val="none" w:color="auto"/>
          <w:lang w:bidi="ar"/>
        </w:rPr>
        <w:t>立足党和国家重大战略部署，结合青年学生专业特点、个人兴趣、职业规划，通过政策解读、榜样引领、参观寻访等，引领青年响应党的号召，在科技创新、乡村振兴、绿色发展、社会服务、卫国戍边等各领域各方面工作中挺膺担当。</w:t>
      </w:r>
    </w:p>
    <w:p w14:paraId="4993D43B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10．习近平总书记的青年寄语相关内容</w:t>
      </w:r>
    </w:p>
    <w:p w14:paraId="4741B293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11．区域协调发展战略和区域重大战略等相关内容</w:t>
      </w:r>
    </w:p>
    <w:p w14:paraId="3E6C94C2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主要围绕党的二十大确定的深入实施区域协调发展战略、区域重大战略、主体功能区战略、新型城镇化战略等展开。包括：京津冀协同发展、长江经济带发展、粤港澳大湾区建设、长三角一体化发展、黄河流域生态保护和高质量发展，中部地区崛起、东北全面振兴等。</w:t>
      </w:r>
    </w:p>
    <w:p w14:paraId="6693AAC5">
      <w:pPr>
        <w:spacing w:line="520" w:lineRule="exact"/>
        <w:ind w:firstLine="640" w:firstLineChars="200"/>
        <w:jc w:val="left"/>
        <w:rPr>
          <w:rFonts w:eastAsia="方正楷体_GBK" w:cs="方正楷体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eastAsia="方正楷体_GBK" w:cs="方正楷体_GBK"/>
          <w:color w:val="auto"/>
          <w:kern w:val="0"/>
          <w:highlight w:val="none"/>
          <w:u w:val="none" w:color="auto"/>
          <w:lang w:bidi="ar"/>
        </w:rPr>
        <w:t>（三）</w:t>
      </w:r>
      <w:r>
        <w:rPr>
          <w:rFonts w:eastAsia="方正楷体_GBK" w:cs="方正楷体_GBK"/>
          <w:color w:val="auto"/>
          <w:kern w:val="0"/>
          <w:highlight w:val="none"/>
          <w:u w:val="none" w:color="auto"/>
          <w:lang w:bidi="ar"/>
        </w:rPr>
        <w:t>历史文化类</w:t>
      </w:r>
    </w:p>
    <w:p w14:paraId="4A0B2EAB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重点：</w:t>
      </w:r>
      <w:bookmarkStart w:id="0" w:name="_GoBack"/>
      <w:r>
        <w:rPr>
          <w:color w:val="auto"/>
          <w:kern w:val="0"/>
          <w:highlight w:val="none"/>
          <w:u w:val="none" w:color="auto"/>
          <w:lang w:bidi="ar"/>
        </w:rPr>
        <w:t>着眼充分利用丰厚的历史文化资源，讲好中国的故事、党的故事、革命的故事、英雄的故事，用</w:t>
      </w:r>
      <w:r>
        <w:rPr>
          <w:rFonts w:hint="eastAsia" w:ascii="方正仿宋_GBK" w:hAnsi="方正仿宋_GBK" w:cs="方正仿宋_GBK"/>
          <w:color w:val="auto"/>
          <w:kern w:val="0"/>
          <w:highlight w:val="none"/>
          <w:u w:val="none" w:color="auto"/>
          <w:lang w:eastAsia="zh-CN" w:bidi="ar"/>
        </w:rPr>
        <w:t>“</w:t>
      </w:r>
      <w:r>
        <w:rPr>
          <w:color w:val="auto"/>
          <w:kern w:val="0"/>
          <w:highlight w:val="none"/>
          <w:u w:val="none" w:color="auto"/>
          <w:lang w:bidi="ar"/>
        </w:rPr>
        <w:t>活起来</w:t>
      </w:r>
      <w:r>
        <w:rPr>
          <w:rFonts w:hint="eastAsia" w:ascii="方正仿宋_GBK" w:hAnsi="方正仿宋_GBK" w:cs="方正仿宋_GBK"/>
          <w:color w:val="auto"/>
          <w:kern w:val="0"/>
          <w:highlight w:val="none"/>
          <w:u w:val="none" w:color="auto"/>
          <w:lang w:eastAsia="zh-CN" w:bidi="ar"/>
        </w:rPr>
        <w:t>”</w:t>
      </w:r>
      <w:r>
        <w:rPr>
          <w:color w:val="auto"/>
          <w:kern w:val="0"/>
          <w:highlight w:val="none"/>
          <w:u w:val="none" w:color="auto"/>
          <w:lang w:bidi="ar"/>
        </w:rPr>
        <w:t>的历史教育青年、启迪青年、感化青年、鼓舞青年，避免知识化，引导青年厚植爱党、爱国、爱社会主义的情感，激发不懈奋进的精神力量。</w:t>
      </w:r>
      <w:bookmarkEnd w:id="0"/>
    </w:p>
    <w:p w14:paraId="2A0A2D90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12．党的精神谱系相关内容</w:t>
      </w:r>
    </w:p>
    <w:p w14:paraId="6382C62D">
      <w:pPr>
        <w:spacing w:line="520" w:lineRule="exact"/>
        <w:ind w:firstLine="640" w:firstLineChars="200"/>
        <w:jc w:val="left"/>
        <w:rPr>
          <w:rFonts w:cs="方正仿宋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以第一批纳入中国共产党人精神谱系的46个伟大精神为主。包括：建党精神；井冈山精神、苏区精神、长征精神、遵义会议精神、延安精神、抗战精神、红岩精神、西柏坡精神、照金精神、东北抗联精神、南泥湾精神、太行精神（吕梁精神）、大别山精神、沂蒙精神、老区精神、张思德精神；抗美援朝精神、</w:t>
      </w:r>
      <w:r>
        <w:rPr>
          <w:rFonts w:hint="eastAsia" w:cs="方正仿宋_GBK"/>
          <w:color w:val="auto"/>
          <w:kern w:val="0"/>
          <w:highlight w:val="none"/>
          <w:u w:val="none" w:color="auto"/>
          <w:lang w:eastAsia="zh-CN" w:bidi="ar"/>
        </w:rPr>
        <w:t>“</w:t>
      </w: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两弹一星</w:t>
      </w:r>
      <w:r>
        <w:rPr>
          <w:rFonts w:hint="eastAsia" w:cs="方正仿宋_GBK"/>
          <w:color w:val="auto"/>
          <w:kern w:val="0"/>
          <w:highlight w:val="none"/>
          <w:u w:val="none" w:color="auto"/>
          <w:lang w:eastAsia="zh-CN" w:bidi="ar"/>
        </w:rPr>
        <w:t>”</w:t>
      </w: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精神、雷锋精神、焦裕禄精神、大庆精神（铁人精神）、红旗渠精神、北大荒精神、塞罕坝精神、</w:t>
      </w:r>
      <w:r>
        <w:rPr>
          <w:rFonts w:hint="eastAsia" w:cs="方正仿宋_GBK"/>
          <w:color w:val="auto"/>
          <w:kern w:val="0"/>
          <w:highlight w:val="none"/>
          <w:u w:val="none" w:color="auto"/>
          <w:lang w:eastAsia="zh-CN" w:bidi="ar"/>
        </w:rPr>
        <w:t>“</w:t>
      </w: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两路</w:t>
      </w:r>
      <w:r>
        <w:rPr>
          <w:rFonts w:hint="eastAsia" w:cs="方正仿宋_GBK"/>
          <w:color w:val="auto"/>
          <w:kern w:val="0"/>
          <w:highlight w:val="none"/>
          <w:u w:val="none" w:color="auto"/>
          <w:lang w:eastAsia="zh-CN" w:bidi="ar"/>
        </w:rPr>
        <w:t>”</w:t>
      </w: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精神、老西藏精神（孔繁森精神）、西迁精神、王杰精神；改革开放精神、特区精神、抗洪精神、抗击</w:t>
      </w:r>
      <w:r>
        <w:rPr>
          <w:rFonts w:hint="eastAsia" w:cs="方正仿宋_GBK"/>
          <w:color w:val="auto"/>
          <w:kern w:val="0"/>
          <w:highlight w:val="none"/>
          <w:u w:val="none" w:color="auto"/>
          <w:lang w:eastAsia="zh-CN" w:bidi="ar"/>
        </w:rPr>
        <w:t>“</w:t>
      </w: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非典</w:t>
      </w:r>
      <w:r>
        <w:rPr>
          <w:rFonts w:hint="eastAsia" w:cs="方正仿宋_GBK"/>
          <w:color w:val="auto"/>
          <w:kern w:val="0"/>
          <w:highlight w:val="none"/>
          <w:u w:val="none" w:color="auto"/>
          <w:lang w:eastAsia="zh-CN" w:bidi="ar"/>
        </w:rPr>
        <w:t>”</w:t>
      </w: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精神、抗震救灾精神、载人航天精神、劳模精神（劳动精神、工匠精神）、青藏铁路精神、女排精神；脱贫攻坚精神、抗疫精神、</w:t>
      </w:r>
      <w:r>
        <w:rPr>
          <w:rFonts w:hint="eastAsia" w:cs="方正仿宋_GBK"/>
          <w:color w:val="auto"/>
          <w:kern w:val="0"/>
          <w:highlight w:val="none"/>
          <w:u w:val="none" w:color="auto"/>
          <w:lang w:eastAsia="zh-CN" w:bidi="ar"/>
        </w:rPr>
        <w:t>“</w:t>
      </w: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三牛</w:t>
      </w:r>
      <w:r>
        <w:rPr>
          <w:rFonts w:hint="eastAsia" w:cs="方正仿宋_GBK"/>
          <w:color w:val="auto"/>
          <w:kern w:val="0"/>
          <w:highlight w:val="none"/>
          <w:u w:val="none" w:color="auto"/>
          <w:lang w:eastAsia="zh-CN" w:bidi="ar"/>
        </w:rPr>
        <w:t>”</w:t>
      </w: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精神、科学家精神、企业家精神、探月精神、新时代北斗精神、丝路精神。</w:t>
      </w:r>
    </w:p>
    <w:p w14:paraId="2AF99686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13．党史、新中国史、改革开放史、社会主义发展史、中华民族发展史相关内容</w:t>
      </w:r>
    </w:p>
    <w:p w14:paraId="441054EB">
      <w:pPr>
        <w:spacing w:line="520" w:lineRule="exact"/>
        <w:ind w:firstLine="640" w:firstLineChars="200"/>
        <w:jc w:val="left"/>
        <w:rPr>
          <w:color w:val="auto"/>
          <w:kern w:val="0"/>
          <w:highlight w:val="none"/>
          <w:u w:val="none" w:color="auto"/>
          <w:lang w:bidi="ar"/>
        </w:rPr>
      </w:pPr>
      <w:r>
        <w:rPr>
          <w:color w:val="auto"/>
          <w:kern w:val="0"/>
          <w:highlight w:val="none"/>
          <w:u w:val="none" w:color="auto"/>
          <w:lang w:bidi="ar"/>
        </w:rPr>
        <w:t>14．社会主义核心价值观与中华优秀传统文化相关内容</w:t>
      </w:r>
    </w:p>
    <w:p w14:paraId="419684BA">
      <w:pPr>
        <w:spacing w:line="520" w:lineRule="exact"/>
        <w:ind w:firstLine="640" w:firstLineChars="200"/>
        <w:jc w:val="left"/>
        <w:rPr>
          <w:rFonts w:eastAsia="方正楷体_GBK" w:cs="方正楷体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eastAsia="方正楷体_GBK" w:cs="方正楷体_GBK"/>
          <w:color w:val="auto"/>
          <w:kern w:val="0"/>
          <w:highlight w:val="none"/>
          <w:u w:val="none" w:color="auto"/>
          <w:lang w:bidi="ar"/>
        </w:rPr>
        <w:t>（四）团的知识类</w:t>
      </w:r>
    </w:p>
    <w:p w14:paraId="466EA6BE">
      <w:pPr>
        <w:spacing w:line="520" w:lineRule="exact"/>
        <w:ind w:firstLine="640" w:firstLineChars="200"/>
        <w:jc w:val="left"/>
        <w:rPr>
          <w:rFonts w:cs="方正仿宋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重点：着眼党、团、队育人链条相衔接、相贯通，讲好共青团的历史和基本知识，引导青年争做有理想、敢担当、能吃苦、肯奋斗的新时代好青年，引导团员做到</w:t>
      </w:r>
      <w:r>
        <w:rPr>
          <w:rFonts w:hint="eastAsia" w:cs="方正仿宋_GBK"/>
          <w:color w:val="auto"/>
          <w:kern w:val="0"/>
          <w:highlight w:val="none"/>
          <w:u w:val="none" w:color="auto"/>
          <w:lang w:eastAsia="zh-CN" w:bidi="ar"/>
        </w:rPr>
        <w:t>“</w:t>
      </w: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五个模范、五个带头</w:t>
      </w:r>
      <w:r>
        <w:rPr>
          <w:rFonts w:hint="eastAsia" w:cs="方正仿宋_GBK"/>
          <w:color w:val="auto"/>
          <w:kern w:val="0"/>
          <w:highlight w:val="none"/>
          <w:u w:val="none" w:color="auto"/>
          <w:lang w:eastAsia="zh-CN" w:bidi="ar"/>
        </w:rPr>
        <w:t>”</w:t>
      </w: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。</w:t>
      </w:r>
    </w:p>
    <w:p w14:paraId="1DFF9254">
      <w:pPr>
        <w:spacing w:line="520" w:lineRule="exact"/>
        <w:ind w:firstLine="640" w:firstLineChars="200"/>
        <w:jc w:val="left"/>
        <w:rPr>
          <w:rFonts w:cs="方正仿宋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15．党领导的中国青年运动史和共青团、少先队史相关内容</w:t>
      </w:r>
    </w:p>
    <w:p w14:paraId="709D690B">
      <w:pPr>
        <w:spacing w:line="520" w:lineRule="exact"/>
        <w:ind w:firstLine="640" w:firstLineChars="200"/>
        <w:jc w:val="left"/>
        <w:rPr>
          <w:rFonts w:cs="方正仿宋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16．共青团基本知识相关内容</w:t>
      </w:r>
    </w:p>
    <w:p w14:paraId="683DB6AE">
      <w:pPr>
        <w:spacing w:line="520" w:lineRule="exact"/>
        <w:ind w:firstLine="640" w:firstLineChars="200"/>
        <w:jc w:val="left"/>
        <w:rPr>
          <w:rFonts w:cs="方正仿宋_GBK"/>
          <w:color w:val="auto"/>
          <w:kern w:val="0"/>
          <w:highlight w:val="none"/>
          <w:u w:val="none" w:color="auto"/>
          <w:lang w:bidi="ar"/>
        </w:rPr>
      </w:pPr>
      <w:r>
        <w:rPr>
          <w:rFonts w:hint="eastAsia" w:cs="方正仿宋_GBK"/>
          <w:color w:val="auto"/>
          <w:kern w:val="0"/>
          <w:highlight w:val="none"/>
          <w:u w:val="none" w:color="auto"/>
          <w:lang w:bidi="ar"/>
        </w:rPr>
        <w:t>17．共青团项目品牌相关内容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BDCD468-1FCF-45F6-B184-A7AE1885D13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06A9062-B8EB-4BED-AF50-9E64DA6636AE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6CE5E46-07D4-4A9F-9F3D-A5031D9E45E9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907FAA70-57CE-4862-BC0C-3199C96857E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5" w:fontKey="{EA95FE5C-D11B-4094-A7D3-2DB623174A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F5F94"/>
    <w:rsid w:val="2DFF5F94"/>
    <w:rsid w:val="69EA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rFonts w:ascii="Verdana" w:hAnsi="Verdana" w:cs="Times New Roman"/>
      <w:b/>
      <w:bCs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1468</Words>
  <Characters>1477</Characters>
  <Lines>0</Lines>
  <Paragraphs>0</Paragraphs>
  <TotalTime>1</TotalTime>
  <ScaleCrop>false</ScaleCrop>
  <LinksUpToDate>false</LinksUpToDate>
  <CharactersWithSpaces>1477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2026-05-08T06:32:00Z</dcterms:created>
  <dc:creator>徐曼</dc:creator>
  <cp:lastModifiedBy>兔子</cp:lastModifiedBy>
  <dcterms:modified xsi:type="dcterms:W3CDTF">2026-05-09T06:28:32Z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06F6ABA035614FD1B609BCC0A2CF3A44_11</vt:lpwstr>
  </property>
  <property fmtid="{D5CDD505-2E9C-101B-9397-08002B2CF9AE}" pid="4" name="KSOTemplateDocerSaveRecord">
    <vt:lpwstr>eyJoZGlkIjoiNjFmZDYwZWVhNzBjZTcyMWVkNTY5NjY1OWUyYzg2ZmEiLCJ1c2VySWQiOiI0MTM5OTk4MDEifQ==</vt:lpwstr>
  </property>
</Properties>
</file>